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color w:val="0F2342"/>
          <w:sz w:val="40"/>
        </w:rPr>
        <w:t>教學計劃 · Teaching Plan</w:t>
      </w:r>
    </w:p>
    <w:p>
      <w:pPr>
        <w:spacing w:after="0"/>
        <w:jc w:val="center"/>
      </w:pPr>
      <w:r>
        <w:rPr>
          <w:rFonts w:ascii="Calibri" w:hAnsi="Calibri"/>
          <w:b/>
          <w:i w:val="0"/>
          <w:color w:val="334155"/>
          <w:sz w:val="28"/>
        </w:rPr>
        <w:t>啟發到立志 — 專注力的經濟學</w:t>
      </w:r>
    </w:p>
    <w:p>
      <w:pPr>
        <w:spacing w:after="160"/>
        <w:jc w:val="center"/>
      </w:pPr>
      <w:r>
        <w:rPr>
          <w:rFonts w:ascii="Calibri" w:hAnsi="Calibri"/>
          <w:b w:val="0"/>
          <w:i/>
          <w:color w:val="334155"/>
          <w:sz w:val="24"/>
        </w:rPr>
        <w:t>Inspire to Aspire — The Economics of Attentiveness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學校 School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_________________________________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科目 Subject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宗教教育 / 開拓與創新精神</w:t>
              <w:br/>
              <w:t>RE · ES</w:t>
            </w:r>
          </w:p>
        </w:tc>
      </w:tr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級別 Class Level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F.3 – F.5 (約 14–17 歲)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人數 No. of Students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約 30–35 人 / class</w:t>
            </w:r>
          </w:p>
        </w:tc>
      </w:tr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課題 Topic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啟發到立志 · 為他人創造價值</w:t>
              <w:br/>
              <w:t>Inspire to Aspire · Creating Value for Others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課節 Lesson(s)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雙連堂 Double lesson · 70–80 分鐘</w:t>
            </w:r>
          </w:p>
        </w:tc>
      </w:tr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日期 Date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節數 Period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第 ___ / 第 ___ 節</w:t>
            </w:r>
          </w:p>
        </w:tc>
      </w:tr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任教老師 Teacher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觀課老師 Observer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</w:t>
            </w:r>
          </w:p>
        </w:tc>
      </w:tr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教學資源 Resources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iPad / 手提電腦 (每組一部) · 投影機 · WiFi · 工作紙 · 學生個人筆記簿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網址 URL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reclaim2k.org/inspire-to-aspire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一、學習目標  </w:t>
      </w:r>
      <w:r>
        <w:rPr>
          <w:rFonts w:ascii="Calibri" w:hAnsi="Calibri"/>
          <w:b/>
          <w:i/>
          <w:color w:val="334155"/>
          <w:sz w:val="28"/>
        </w:rPr>
        <w:t>Learning Objectives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本課以 OECD「Learning Compass 2030」三項變革素養為框架,並對應香港教育局《開拓與創新精神》的特質。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Anchored in OECD Learning Compass 2030 (the three transformative competencies) and EDB's characterisation of 開拓與創新精神 (Entrepreneurship Spirit).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範疇 Domain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課堂結束後,學生能夠⋯⋯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By the end of this lesson, students will be able to…</w:t>
            </w:r>
          </w:p>
        </w:tc>
      </w:tr>
      <w:tr>
        <w:tc>
          <w:tcPr>
            <w:tcW w:type="dxa" w:w="3408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2"/>
              </w:rPr>
              <w:t>知識 (K)</w:t>
              <w:br/>
              <w:t>Knowledge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認識 OECD 對「企業家精神」的定義 — 「為他人創造價值」的能力。</w:t>
              <w:br/>
              <w:t>2. 認識 10 個來自香港與全球的真實學生案例,了解他們如何從「留意身邊問題」走向「具體行動」。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Define entrepreneurship by the OECD lens — the capacity to act on opportunities and create value for others.</w:t>
              <w:br/>
              <w:t>2. Recognise 10 real student-changemaker cases (HK + global) and the noticing-to-action journey behind each one.</w:t>
            </w:r>
          </w:p>
        </w:tc>
      </w:tr>
      <w:tr>
        <w:tc>
          <w:tcPr>
            <w:tcW w:type="dxa" w:w="3408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2"/>
              </w:rPr>
              <w:t>技能 (S)</w:t>
              <w:br/>
              <w:t>Skills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操控小遊戲,辨識「製造 (production)」與「過度消費 (over-consumption)」兩類選擇。</w:t>
              <w:br/>
              <w:t>2. 運用 AI 工具 (Gemini / ChatGPT) 撰寫研究提示,並生成兩星期可行動的行動計劃。</w:t>
              <w:br/>
              <w:t>3. 以分享按鈕 (WhatsApp / 電郵 / 複製) 將個人計劃發送予老師、家人或朋友。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Operate the mini-game to identify Production vs. Over-consumption choices.</w:t>
              <w:br/>
              <w:t>2. Use AI tools (Gemini / ChatGPT) to draft a research prompt and a 2-week action plan.</w:t>
              <w:br/>
              <w:t>3. Share the personal plan with a teacher, family member, or peer via the in-game share channels.</w:t>
            </w:r>
          </w:p>
        </w:tc>
      </w:tr>
      <w:tr>
        <w:tc>
          <w:tcPr>
            <w:tcW w:type="dxa" w:w="3408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2"/>
              </w:rPr>
              <w:t>態度與價值觀 (A)</w:t>
              <w:br/>
              <w:t>Attitudes &amp; Values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珍惜「注意力」為個人最稀缺的資源。</w:t>
              <w:br/>
              <w:t>2. 相信中學生 (我) 亦能為他人創造價值,毋須等待至大學或進入職場。</w:t>
              <w:br/>
              <w:t>3. 願意把計劃分享予「對自己重要的人」,以行動承擔責任。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Value attention as a personal scarce resource.</w:t>
              <w:br/>
              <w:t>2. Believe that one — as a secondary student — can create value for others, without waiting for university or career.</w:t>
              <w:br/>
              <w:t>3. Choose to share the plan with someone who matters, taking responsibility through action.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二、先備知識  </w:t>
      </w:r>
      <w:r>
        <w:rPr>
          <w:rFonts w:ascii="Calibri" w:hAnsi="Calibri"/>
          <w:b/>
          <w:i/>
          <w:color w:val="334155"/>
          <w:sz w:val="28"/>
        </w:rPr>
        <w:t>Prior Knowledge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懂得使用智能手機或 iPad 開啟網頁與輸入文字。</w:t>
      </w:r>
      <w:r>
        <w:rPr>
          <w:rFonts w:ascii="Calibri" w:hAnsi="Calibri"/>
          <w:b w:val="0"/>
          <w:i/>
          <w:color w:val="64748B"/>
          <w:sz w:val="20"/>
        </w:rPr>
        <w:t xml:space="preserve">  Basic ability to operate a smartphone / iPad and type.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曾經接觸 ChatGPT、Gemini 或同類生成式 AI 工具(非必要)。</w:t>
      </w:r>
      <w:r>
        <w:rPr>
          <w:rFonts w:ascii="Calibri" w:hAnsi="Calibri"/>
          <w:b w:val="0"/>
          <w:i/>
          <w:color w:val="64748B"/>
          <w:sz w:val="20"/>
        </w:rPr>
        <w:t xml:space="preserve">  Some exposure to ChatGPT / Gemini / similar generative AI tools (helpful but not required).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對「手機沉迷」「短片成癮」或「未來路向」等議題有基本意識。</w:t>
      </w:r>
      <w:r>
        <w:rPr>
          <w:rFonts w:ascii="Calibri" w:hAnsi="Calibri"/>
          <w:b w:val="0"/>
          <w:i/>
          <w:color w:val="64748B"/>
          <w:sz w:val="20"/>
        </w:rPr>
        <w:t xml:space="preserve">  Aware that phone over-use / short-video addiction / future-planning anxieties are real topics for their cohort.</w:t>
      </w: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三、教學流程  </w:t>
      </w:r>
      <w:r>
        <w:rPr>
          <w:rFonts w:ascii="Calibri" w:hAnsi="Calibri"/>
          <w:b/>
          <w:i/>
          <w:color w:val="334155"/>
          <w:sz w:val="28"/>
        </w:rPr>
        <w:t>Teaching Procedures (double lesson, 70–80 min)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時間 Time</w:t>
            </w:r>
          </w:p>
        </w:tc>
        <w:tc>
          <w:tcPr>
            <w:tcW w:type="dxa" w:w="2556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階段 Stage</w:t>
            </w:r>
          </w:p>
        </w:tc>
        <w:tc>
          <w:tcPr>
            <w:tcW w:type="dxa" w:w="2556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教學活動 Teaching activities</w:t>
            </w:r>
          </w:p>
        </w:tc>
        <w:tc>
          <w:tcPr>
            <w:tcW w:type="dxa" w:w="2556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學生活動 Student activities</w:t>
            </w:r>
          </w:p>
        </w:tc>
      </w:tr>
      <w:tr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0:00–0:08</w:t>
              <w:br/>
              <w:t>8 min</w:t>
            </w:r>
          </w:p>
        </w:tc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引起動機</w:t>
              <w:br/>
              <w:t>Introduction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投影一張統計圖:中學生平均每日花約 2 小時於手機 → 一學年累積</w:t>
              <w:br/>
              <w:t>約 730 小時,中學生涯總計可達 2,000+ 小時。</w:t>
              <w:br/>
              <w:t>提問:「若這 2,000 小時奪回了,你會用來做甚麼?」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個人寫下一個答案於工作紙第 1 部分。</w:t>
              <w:br/>
              <w:t>Two students share verbally.</w:t>
            </w:r>
          </w:p>
        </w:tc>
      </w:tr>
      <w:tr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0:08–0:23</w:t>
              <w:br/>
              <w:t>15 min</w:t>
            </w:r>
          </w:p>
        </w:tc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第一回合 PLAY</w:t>
              <w:br/>
              <w:t>注意力訓練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示範遊戲操作 (1 分鐘),然後讓全班同步進行 60 秒「熱氣球」遊戲,</w:t>
              <w:br/>
              <w:t>目標:「製造 (production)」得分 ≥ 30 分。</w:t>
              <w:br/>
              <w:t>完成後簡短解說:何謂「製造」(讀書、運動、創作、用 AI 學習、</w:t>
              <w:br/>
              <w:t>幫助他人)? 何謂「過度消費」?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雙人一組進行 60 秒遊戲。</w:t>
              <w:br/>
              <w:t>在工作紙第 2 部分填寫:自己最常選擇的 3 項 production 與 3 項 over-consumption。</w:t>
            </w:r>
          </w:p>
        </w:tc>
      </w:tr>
      <w:tr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0:23–0:43</w:t>
              <w:br/>
              <w:t>20 min</w:t>
            </w:r>
          </w:p>
        </w:tc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第二回合 INSPIRE</w:t>
              <w:br/>
              <w:t>真實學生案例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在班上閱讀其中 4 個故事 (建議:Tejasvi · Brainstorm by Braille · FloodGate · Alanna Sethi)。</w:t>
              <w:br/>
              <w:t>強調每個案例皆附 TIME / SCMP / Earth.org 的可驗證連結。</w:t>
              <w:br/>
              <w:t>關鍵提問:「他 / 她注意到的,是甚麼?」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閱讀同學自選的兩個故事。</w:t>
              <w:br/>
              <w:t>在工作紙第 3 部分填寫:「你最想成為哪一位?為甚麼?」</w:t>
            </w:r>
          </w:p>
        </w:tc>
      </w:tr>
      <w:tr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0:43–0:58</w:t>
              <w:br/>
              <w:t>15 min</w:t>
            </w:r>
          </w:p>
        </w:tc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第三回合 ASPIRE</w:t>
              <w:br/>
              <w:t>AI 研究提示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教師引導學生使用第三回合表單,選擇興趣領域、具體問題、</w:t>
              <w:br/>
              <w:t>直接受惠者、現有資源。</w:t>
              <w:br/>
              <w:t>生成「AI 研究提示」並複製。</w:t>
              <w:br/>
              <w:t>教師強調:AI 不會給出最終答案,而是給出研究的方向。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個人完成第三回合 4 個欄位。</w:t>
              <w:br/>
              <w:t>生成提示後,將其貼到 Gemini / ChatGPT,讀取 AI 回應。</w:t>
              <w:br/>
              <w:t>於工作紙第 4 部分摘錄最有用的一項建議。</w:t>
            </w:r>
          </w:p>
        </w:tc>
      </w:tr>
      <w:tr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0:58–1:08</w:t>
              <w:br/>
              <w:t>10 min</w:t>
            </w:r>
          </w:p>
        </w:tc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第四回合 CREATE</w:t>
              <w:br/>
              <w:t>兩星期行動計劃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教師示範如何選擇成果類型 (例如「兩星期行動計劃」),</w:t>
              <w:br/>
              <w:t>填寫第一步及成功指標,再次生成 AI 提示。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完成第四回合表單。</w:t>
              <w:br/>
              <w:t>在工作紙第 5 部分手寫「我的兩星期行動計劃」(必填)。</w:t>
            </w:r>
          </w:p>
        </w:tc>
      </w:tr>
      <w:tr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1:08–1:15</w:t>
              <w:br/>
              <w:t>7 min</w:t>
            </w:r>
          </w:p>
        </w:tc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第五回合 SHARE</w:t>
              <w:br/>
              <w:t>關閉循環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教師強調:行動只有「告訴別人」才會發生。</w:t>
              <w:br/>
              <w:t>示範三個分享渠道:WhatsApp / 電郵老師 / 複製。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至少使用一個分享渠道將計劃發送出去。</w:t>
              <w:br/>
              <w:t>在工作紙第 6 部分填寫:「我送了給誰?他/她如何回應?」(課後完成)</w:t>
            </w:r>
          </w:p>
        </w:tc>
      </w:tr>
      <w:tr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1:15–1:20</w:t>
              <w:br/>
              <w:t>5 min</w:t>
            </w:r>
          </w:p>
        </w:tc>
        <w:tc>
          <w:tcPr>
            <w:tcW w:type="dxa" w:w="2556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總結與獎勵計劃</w:t>
              <w:br/>
              <w:t>Wrap-up &amp; Award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重溫 OECD 對企業家精神的定義(投影):</w:t>
              <w:br/>
              <w:t>「Entrepreneurship is when you act upon opportunities and ideas</w:t>
              <w:br/>
              <w:t>and transform them into value for others.」(OECD, 2015)</w:t>
              <w:br/>
              <w:t>宣布班內「啟發到立志獎勵計劃」三個等級</w:t>
              <w:br/>
              <w:t>(見「五、獎勵計劃」),並訂下提交期限。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把工作紙夾在筆記簿內,於下星期同一節呈交 / 上載至 Google Classroom。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四、學習評估  </w:t>
      </w:r>
      <w:r>
        <w:rPr>
          <w:rFonts w:ascii="Calibri" w:hAnsi="Calibri"/>
          <w:b/>
          <w:i/>
          <w:color w:val="334155"/>
          <w:sz w:val="28"/>
        </w:rPr>
        <w:t>Assessment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形成性評估:課堂觀察學生於小遊戲與閱讀真實故事時的投入度。</w:t>
      </w:r>
      <w:r>
        <w:rPr>
          <w:rFonts w:ascii="Calibri" w:hAnsi="Calibri"/>
          <w:b w:val="0"/>
          <w:i/>
          <w:color w:val="64748B"/>
          <w:sz w:val="20"/>
        </w:rPr>
        <w:t xml:space="preserve">  Formative: in-class observation of engagement during the balloon game and story reading.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總結性評估:學生工作紙(必填部分:第 5 部分「兩星期行動計劃」及第 6 部分「分享紀錄」)。</w:t>
      </w:r>
      <w:r>
        <w:rPr>
          <w:rFonts w:ascii="Calibri" w:hAnsi="Calibri"/>
          <w:b w:val="0"/>
          <w:i/>
          <w:color w:val="64748B"/>
          <w:sz w:val="20"/>
        </w:rPr>
        <w:t xml:space="preserve">  Summative: completed student worksheet — required sections include Part 5 (2-week action plan) and Part 6 (share log).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進階評估:學生於兩星期後提交「執行證明」(照片、訊息截圖、受惠者反饋等)。</w:t>
      </w:r>
      <w:r>
        <w:rPr>
          <w:rFonts w:ascii="Calibri" w:hAnsi="Calibri"/>
          <w:b w:val="0"/>
          <w:i/>
          <w:color w:val="64748B"/>
          <w:sz w:val="20"/>
        </w:rPr>
        <w:t xml:space="preserve">  Stretch: students submit "action proof" two weeks later — photo, screenshot of messages, beneficiary feedback, etc.</w:t>
      </w: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五、獎勵計劃 (建議)  </w:t>
      </w:r>
      <w:r>
        <w:rPr>
          <w:rFonts w:ascii="Calibri" w:hAnsi="Calibri"/>
          <w:b/>
          <w:i/>
          <w:color w:val="334155"/>
          <w:sz w:val="28"/>
        </w:rPr>
        <w:t>Award Scheme (school-customisable)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下列三級獎勵屬建議框架,實際獎品由各校校方或科主任決定。可以是書券、午餐券、校長嘉許狀、優先參加學校創科活動、或在學校通訊 / 集會展示其作品等。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Three tiers below are a suggested frame; the actual prize is at the school's discretion (book vouchers, lunch coupons, principal commendation letter, priority entry to school STEAM events, or showcase in school bulletin / assembly).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等級 Tier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資格 Criteria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建議獎勵 Suggested benefit</w:t>
            </w:r>
          </w:p>
        </w:tc>
      </w:tr>
      <w:tr>
        <w:tc>
          <w:tcPr>
            <w:tcW w:type="dxa" w:w="3408"/>
            <w:shd w:fill="FFF8E1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🥇 金獎</w:t>
              <w:br/>
              <w:t>Gold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完成工作紙(全部 6 部分)</w:t>
              <w:br/>
              <w:t>+ 提交反思</w:t>
              <w:br/>
              <w:t>+ 兩星期內完成行動 + 附執行證明</w:t>
              <w:br/>
              <w:t>(照片 / 訊息截圖 / 受惠者反饋)</w:t>
              <w:br/>
              <w:br/>
              <w:t>Completed worksheet (all 6 parts) + reflection + completed action within 2 weeks WITH proof.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校內最高層級嘉許(校長 / 校監)。</w:t>
              <w:br/>
              <w:t>* 待定:有可能由老師代學生重新提交給 Reclaim2K 平台,</w:t>
              <w:br/>
              <w:t xml:space="preserve">  作為「真實學生案例」加入未來版本的遊戲中。</w:t>
              <w:br/>
              <w:br/>
              <w:t>School-level high commendation.</w:t>
              <w:br/>
              <w:t>* Pending: subject to teacher submission, the case may be resubmitted via Reclaim2K teachers' channel for possible inclusion as a future real-student story in the game.</w:t>
            </w:r>
          </w:p>
        </w:tc>
      </w:tr>
      <w:tr>
        <w:tc>
          <w:tcPr>
            <w:tcW w:type="dxa" w:w="3408"/>
            <w:shd w:fill="FFF8E1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🥈 銀獎</w:t>
              <w:br/>
              <w:t>Silver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完成工作紙(全部 6 部分)</w:t>
              <w:br/>
              <w:t>+ 提交反思</w:t>
              <w:br/>
              <w:t>+ 行動已部分執行(未完成)</w:t>
              <w:br/>
              <w:br/>
              <w:t>Completed worksheet (all 6 parts) + reflection + action partially executed (not yet complete).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科內或級內嘉許,例如於宗教教育科 / 公民及社會發展科 / 開拓與創新</w:t>
              <w:br/>
              <w:t>精神專題日上分享。</w:t>
              <w:br/>
              <w:br/>
              <w:t>Subject-level or form-level recognition — e.g. share at the RE / Citizenship &amp; Social Development / Entrepreneurship Spirit project day.</w:t>
            </w:r>
          </w:p>
        </w:tc>
      </w:tr>
      <w:tr>
        <w:tc>
          <w:tcPr>
            <w:tcW w:type="dxa" w:w="3408"/>
            <w:shd w:fill="FFF8E1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🥉 銅獎</w:t>
              <w:br/>
              <w:t>Bronze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完成工作紙(必填部分:第 5 + 第 6 部分)</w:t>
              <w:br/>
              <w:t>+ 行動計劃(尚未執行)</w:t>
              <w:br/>
              <w:br/>
              <w:t>Worksheet required parts (Part 5 + Part 6) completed; action plan submitted but not yet executed.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課堂內口頭嘉許,或於班會上展示其行動計劃。</w:t>
              <w:br/>
              <w:br/>
              <w:t>Verbal commendation in class; display the action plan in the class meeting.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六、學習差異照顧  </w:t>
      </w:r>
      <w:r>
        <w:rPr>
          <w:rFonts w:ascii="Calibri" w:hAnsi="Calibri"/>
          <w:b/>
          <w:i/>
          <w:color w:val="334155"/>
          <w:sz w:val="28"/>
        </w:rPr>
        <w:t>Differentiation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中文程度較弱的同學:遊戲與工作紙均提供英文 / 中文切換,故事卡片皆雙語呈現。</w:t>
      </w:r>
      <w:r>
        <w:rPr>
          <w:rFonts w:ascii="Calibri" w:hAnsi="Calibri"/>
          <w:b w:val="0"/>
          <w:i/>
          <w:color w:val="64748B"/>
          <w:sz w:val="20"/>
        </w:rPr>
        <w:t xml:space="preserve">  Lower-Chinese-proficiency students: the game and worksheet are fully bilingual; story cards available in both languages.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資優或快完成的同學:鼓勵其使用第四回合產出的「程式骨架」於課後實作出真實原型 (例如 Replit / Vibe code)。</w:t>
      </w:r>
      <w:r>
        <w:rPr>
          <w:rFonts w:ascii="Calibri" w:hAnsi="Calibri"/>
          <w:b w:val="0"/>
          <w:i/>
          <w:color w:val="64748B"/>
          <w:sz w:val="20"/>
        </w:rPr>
        <w:t xml:space="preserve">  Advanced students: encourage them to take the Round 4 code skeleton and ship a real prototype after class (e.g. on Replit).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有特殊學習需要(SEN)的同學:可改以口述代替書寫,教師或同學代為記錄。</w:t>
      </w:r>
      <w:r>
        <w:rPr>
          <w:rFonts w:ascii="Calibri" w:hAnsi="Calibri"/>
          <w:b w:val="0"/>
          <w:i/>
          <w:color w:val="64748B"/>
          <w:sz w:val="20"/>
        </w:rPr>
        <w:t xml:space="preserve">  SEN students: allow oral responses to be recorded by the teacher or a peer scribe.</w:t>
      </w: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七、家課與延伸學習  </w:t>
      </w:r>
      <w:r>
        <w:rPr>
          <w:rFonts w:ascii="Calibri" w:hAnsi="Calibri"/>
          <w:b/>
          <w:i/>
          <w:color w:val="334155"/>
          <w:sz w:val="28"/>
        </w:rPr>
        <w:t>Homework &amp; Extension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課後一星期內:落實第一步行動,把過程記錄於工作紙第 6 部分。</w:t>
      </w:r>
      <w:r>
        <w:rPr>
          <w:rFonts w:ascii="Calibri" w:hAnsi="Calibri"/>
          <w:b w:val="0"/>
          <w:i/>
          <w:color w:val="64748B"/>
          <w:sz w:val="20"/>
        </w:rPr>
        <w:t xml:space="preserve">  Within 1 week: execute the first step of the action plan; log it in Part 6 of the worksheet.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課後兩星期內:檢視成功指標達成情況,並於下次堂上口頭匯報(3 分鐘)。</w:t>
      </w:r>
      <w:r>
        <w:rPr>
          <w:rFonts w:ascii="Calibri" w:hAnsi="Calibri"/>
          <w:b w:val="0"/>
          <w:i/>
          <w:color w:val="64748B"/>
          <w:sz w:val="20"/>
        </w:rPr>
        <w:t xml:space="preserve">  Within 2 weeks: review the 2-week success marker; present orally in the next lesson (3 minutes).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延伸學習:閱讀 OECD Learning Compass 2030 概念文件,並比較其與 EDB《開拓與創新精神》課程指引。</w:t>
      </w:r>
      <w:r>
        <w:rPr>
          <w:rFonts w:ascii="Calibri" w:hAnsi="Calibri"/>
          <w:b w:val="0"/>
          <w:i/>
          <w:color w:val="64748B"/>
          <w:sz w:val="20"/>
        </w:rPr>
        <w:t xml:space="preserve">  Extension: read the OECD Learning Compass 2030 Concept Note and compare it with EDB's «開拓與創新精神».</w:t>
      </w: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32"/>
        </w:rPr>
        <w:t xml:space="preserve">八、附件清單  </w:t>
      </w:r>
      <w:r>
        <w:rPr>
          <w:rFonts w:ascii="Calibri" w:hAnsi="Calibri"/>
          <w:b/>
          <w:i/>
          <w:color w:val="334155"/>
          <w:sz w:val="28"/>
        </w:rPr>
        <w:t>Appendices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A:學生工作紙 / 反思表 (另檔)</w:t>
      </w:r>
      <w:r>
        <w:rPr>
          <w:rFonts w:ascii="Calibri" w:hAnsi="Calibri"/>
          <w:b w:val="0"/>
          <w:i/>
          <w:color w:val="64748B"/>
          <w:sz w:val="20"/>
        </w:rPr>
        <w:t xml:space="preserve">  Appendix A: Student Worksheet / Reflection Sheet (separate file).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B:教師簡報投影片 (另檔)</w:t>
      </w:r>
      <w:r>
        <w:rPr>
          <w:rFonts w:ascii="Calibri" w:hAnsi="Calibri"/>
          <w:b w:val="0"/>
          <w:i/>
          <w:color w:val="64748B"/>
          <w:sz w:val="20"/>
        </w:rPr>
        <w:t xml:space="preserve">  Appendix B: Teacher PPT (separate file).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C:OECD 引文與真實案例連結清單</w:t>
      </w:r>
      <w:r>
        <w:rPr>
          <w:rFonts w:ascii="Calibri" w:hAnsi="Calibri"/>
          <w:b w:val="0"/>
          <w:i/>
          <w:color w:val="64748B"/>
          <w:sz w:val="20"/>
        </w:rPr>
        <w:t xml:space="preserve">  Appendix C: OECD quote + real-story citation list.</w:t>
      </w: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附件 C:引用與來源  </w:t>
      </w:r>
      <w:r>
        <w:rPr>
          <w:rFonts w:ascii="Calibri" w:hAnsi="Calibri"/>
          <w:b/>
          <w:i/>
          <w:color w:val="334155"/>
          <w:sz w:val="22"/>
        </w:rPr>
        <w:t>Appendix C: Citations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OECD · Future of Education and Skills 2030 (project page)</w:t>
      </w:r>
      <w:r>
        <w:rPr>
          <w:rFonts w:ascii="Calibri" w:hAnsi="Calibri"/>
          <w:b w:val="0"/>
          <w:i/>
          <w:color w:val="64748B"/>
          <w:sz w:val="18"/>
        </w:rPr>
        <w:br/>
        <w:t>https://www.oecd.org/en/about/projects/future-of-education-and-skills-2030.html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OECD Learning Compass 2030 (tool page)</w:t>
      </w:r>
      <w:r>
        <w:rPr>
          <w:rFonts w:ascii="Calibri" w:hAnsi="Calibri"/>
          <w:b w:val="0"/>
          <w:i/>
          <w:color w:val="64748B"/>
          <w:sz w:val="18"/>
        </w:rPr>
        <w:br/>
        <w:t>https://www.oecd.org/en/data/tools/oecd-learning-compass-2030.html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OECD · Transformative Competencies for 2030 (Concept Note PDF)</w:t>
      </w:r>
      <w:r>
        <w:rPr>
          <w:rFonts w:ascii="Calibri" w:hAnsi="Calibri"/>
          <w:b w:val="0"/>
          <w:i/>
          <w:color w:val="64748B"/>
          <w:sz w:val="18"/>
        </w:rPr>
        <w:br/>
        <w:t>https://www.oecd.org/content/dam/oecd/en/about/projects/edu/education-2040/concept-notes/Transformative_Competencies_for_2030_concept_note.pdf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OECD · Entrepreneurship in Education (verbatim "value for others" definition)</w:t>
      </w:r>
      <w:r>
        <w:rPr>
          <w:rFonts w:ascii="Calibri" w:hAnsi="Calibri"/>
          <w:b w:val="0"/>
          <w:i/>
          <w:color w:val="64748B"/>
          <w:sz w:val="18"/>
        </w:rPr>
        <w:br/>
        <w:t>https://www.oecd.org/content/dam/oecd/en/publications/reports/2015/10/entrepreneurship-in-education_c5ab9450/cccac96a-en.pdf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EDB Course CDI020261128 — 11 June 2026 EDB Seminar</w:t>
      </w:r>
      <w:r>
        <w:rPr>
          <w:rFonts w:ascii="Calibri" w:hAnsi="Calibri"/>
          <w:b w:val="0"/>
          <w:i/>
          <w:color w:val="64748B"/>
          <w:sz w:val="18"/>
        </w:rPr>
        <w:br/>
        <w:t>https://tcs.edb.gov.hk/tcs/admin/courses/previewCourse/forPortal.htm?courseId=CDI020261128&amp;lang=zh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Reclaim2K App (iOS — LIVE on App Store)</w:t>
      </w:r>
      <w:r>
        <w:rPr>
          <w:rFonts w:ascii="Calibri" w:hAnsi="Calibri"/>
          <w:b w:val="0"/>
          <w:i/>
          <w:color w:val="64748B"/>
          <w:sz w:val="18"/>
        </w:rPr>
        <w:br/>
        <w:t>https://apps.apple.com/us/app/reclaim2k/id6764469256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Reclaim2K Web App</w:t>
      </w:r>
      <w:r>
        <w:rPr>
          <w:rFonts w:ascii="Calibri" w:hAnsi="Calibri"/>
          <w:b w:val="0"/>
          <w:i/>
          <w:color w:val="64748B"/>
          <w:sz w:val="18"/>
        </w:rPr>
        <w:br/>
        <w:t>https://app.reclaim2k.org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Inspire to Aspire mini-game</w:t>
      </w:r>
      <w:r>
        <w:rPr>
          <w:rFonts w:ascii="Calibri" w:hAnsi="Calibri"/>
          <w:b w:val="0"/>
          <w:i/>
          <w:color w:val="64748B"/>
          <w:sz w:val="18"/>
        </w:rPr>
        <w:br/>
        <w:t>https://reclaim2k.org/inspire-to-aspire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TIME — Kid of the Year 2025 (Tejasvi Manoj)</w:t>
      </w:r>
      <w:r>
        <w:rPr>
          <w:rFonts w:ascii="Calibri" w:hAnsi="Calibri"/>
          <w:b w:val="0"/>
          <w:i/>
          <w:color w:val="64748B"/>
          <w:sz w:val="18"/>
        </w:rPr>
        <w:br/>
        <w:t>https://time.com/7315024/kid-of-the-year-2025/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TIME — Kid of the Year 2020 (Gitanjali Rao)</w:t>
      </w:r>
      <w:r>
        <w:rPr>
          <w:rFonts w:ascii="Calibri" w:hAnsi="Calibri"/>
          <w:b w:val="0"/>
          <w:i/>
          <w:color w:val="64748B"/>
          <w:sz w:val="18"/>
        </w:rPr>
        <w:br/>
        <w:t>https://time.com/5916772/kid-of-the-year-2020/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3M Newsroom — Anika Chebrolu, 2020 Young Scientist Challenge</w:t>
      </w:r>
      <w:r>
        <w:rPr>
          <w:rFonts w:ascii="Calibri" w:hAnsi="Calibri"/>
          <w:b w:val="0"/>
          <w:i/>
          <w:color w:val="64748B"/>
          <w:sz w:val="18"/>
        </w:rPr>
        <w:br/>
        <w:t>https://news.3m.com/2020-10-14-Americas-Top-Young-Scientist-of-2020-14-Year-Old-Researches-Spike-Protein-of-SARS-CoV-2-Virus-to-Develop-Novel-Antiviral-Drug-to-Combat-Spread-of-COVID-19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SCMP — HK Science Fair 2025 (Tang Hin Braille · Acupoint · Yung Yau VR)</w:t>
      </w:r>
      <w:r>
        <w:rPr>
          <w:rFonts w:ascii="Calibri" w:hAnsi="Calibri"/>
          <w:b w:val="0"/>
          <w:i/>
          <w:color w:val="64748B"/>
          <w:sz w:val="18"/>
        </w:rPr>
        <w:br/>
        <w:t>https://www.scmp.com/presented/news/hong-kong/topics/hong-kong-science-fair-welcomes-all/article/3315074/hong-kong-science-fair-showcases-local-students-ai-and-tech-innovations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Earth.org Kids — The Earth Prize 2024 (FloodGate · CocoMellow)</w:t>
      </w:r>
      <w:r>
        <w:rPr>
          <w:rFonts w:ascii="Calibri" w:hAnsi="Calibri"/>
          <w:b w:val="0"/>
          <w:i/>
          <w:color w:val="64748B"/>
          <w:sz w:val="18"/>
        </w:rPr>
        <w:br/>
        <w:t>https://kids.earth.org/climate-change/the-earth-prize-2024-how-you-can-be-a-teenage-climate-changemaker/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SCMP Young Post — HK youth-led wellness NGOs (Alanna Sethi · Charlotte Yuen)</w:t>
      </w:r>
      <w:r>
        <w:rPr>
          <w:rFonts w:ascii="Calibri" w:hAnsi="Calibri"/>
          <w:b w:val="0"/>
          <w:i/>
          <w:color w:val="64748B"/>
          <w:sz w:val="18"/>
        </w:rPr>
        <w:br/>
        <w:t>https://www.scmp.com/yp/discover/lifestyle/features/article/3285651/youth-led-ngo-empowers-teens-through-mental-health-education-and-self-help-tools</w:t>
      </w:r>
    </w:p>
    <w:p>
      <w:pPr>
        <w:spacing w:before="320"/>
      </w:pPr>
      <w:r>
        <w:rPr>
          <w:rFonts w:ascii="Calibri" w:hAnsi="Calibri"/>
          <w:b w:val="0"/>
          <w:i/>
          <w:color w:val="64748B"/>
          <w:sz w:val="17"/>
        </w:rPr>
        <w:t>Reclaim2K · CNEC Lau Wing Sang Secondary School · Designed for the 11 June 2026 EDB Seminar (CDI020261128). AI-assisted document preparation; teaching adaptation by the school's subject team.</w:t>
      </w:r>
    </w:p>
    <w:sectPr w:rsidR="00FC693F" w:rsidRPr="0006063C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